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056D9E" w14:paraId="11FD1864" w14:textId="77777777" w:rsidTr="00C81F73">
        <w:tc>
          <w:tcPr>
            <w:tcW w:w="14183" w:type="dxa"/>
            <w:gridSpan w:val="9"/>
          </w:tcPr>
          <w:p w14:paraId="3E83E517" w14:textId="77777777" w:rsidR="00056D9E" w:rsidRPr="001943AE" w:rsidRDefault="00056D9E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UZMASTON BOULSTON &amp; SLEBECH COMMUNITY COUNCIL </w:t>
            </w:r>
          </w:p>
          <w:p w14:paraId="682296B9" w14:textId="4986414C" w:rsidR="00056D9E" w:rsidRPr="001943AE" w:rsidRDefault="00056D9E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TO MEMBERS 2022</w:t>
            </w:r>
          </w:p>
        </w:tc>
      </w:tr>
      <w:tr w:rsidR="00E955E0" w14:paraId="436CB20E" w14:textId="77777777" w:rsidTr="00E955E0">
        <w:tc>
          <w:tcPr>
            <w:tcW w:w="2185" w:type="dxa"/>
          </w:tcPr>
          <w:p w14:paraId="436CB1FB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436CB1FC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436CB1FD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max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436CB1FE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436CB1FF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  <w:p w14:paraId="436CB200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</w:t>
            </w:r>
            <w:proofErr w:type="gramStart"/>
            <w:r w:rsidRPr="001943AE">
              <w:rPr>
                <w:b/>
                <w:sz w:val="20"/>
                <w:szCs w:val="20"/>
              </w:rPr>
              <w:t>up</w:t>
            </w:r>
            <w:proofErr w:type="gramEnd"/>
            <w:r w:rsidRPr="001943AE">
              <w:rPr>
                <w:b/>
                <w:sz w:val="20"/>
                <w:szCs w:val="20"/>
              </w:rPr>
              <w:t xml:space="preserve">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436CB201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436CB202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436CB203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436CB204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436CB205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6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436CB207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436CB208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09" w14:textId="77777777" w:rsidR="00E955E0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436CB20A" w14:textId="77777777" w:rsidR="00E955E0" w:rsidRDefault="00E955E0" w:rsidP="00E955E0">
            <w:pPr>
              <w:jc w:val="center"/>
              <w:rPr>
                <w:b/>
                <w:sz w:val="20"/>
                <w:szCs w:val="20"/>
              </w:rPr>
            </w:pPr>
          </w:p>
          <w:p w14:paraId="436CB20B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gramStart"/>
            <w:r>
              <w:rPr>
                <w:b/>
                <w:sz w:val="20"/>
                <w:szCs w:val="20"/>
              </w:rPr>
              <w:t>up</w:t>
            </w:r>
            <w:proofErr w:type="gramEnd"/>
            <w:r>
              <w:rPr>
                <w:b/>
                <w:sz w:val="20"/>
                <w:szCs w:val="20"/>
              </w:rPr>
              <w:t xml:space="preserve"> to a maximum of £403 per member per month)</w:t>
            </w:r>
          </w:p>
        </w:tc>
        <w:tc>
          <w:tcPr>
            <w:tcW w:w="1466" w:type="dxa"/>
          </w:tcPr>
          <w:p w14:paraId="436CB20C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436CB20D" w14:textId="77777777" w:rsidR="00E955E0" w:rsidRPr="001943AE" w:rsidRDefault="00E955E0" w:rsidP="00E955E0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E955E0" w14:paraId="436CB218" w14:textId="77777777" w:rsidTr="00E955E0">
        <w:tc>
          <w:tcPr>
            <w:tcW w:w="2185" w:type="dxa"/>
          </w:tcPr>
          <w:p w14:paraId="436CB20F" w14:textId="7F565682" w:rsidR="00E955E0" w:rsidRPr="006530A0" w:rsidRDefault="00525D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549A">
              <w:rPr>
                <w:sz w:val="20"/>
                <w:szCs w:val="20"/>
              </w:rPr>
              <w:t>Beverley Thomas</w:t>
            </w:r>
          </w:p>
        </w:tc>
        <w:tc>
          <w:tcPr>
            <w:tcW w:w="1485" w:type="dxa"/>
          </w:tcPr>
          <w:p w14:paraId="436CB210" w14:textId="550B758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11" w14:textId="4A6D7E4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2" w14:textId="597D8F4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3" w14:textId="55DCB6D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4" w14:textId="6A725E0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15" w14:textId="0B7F3D28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16" w14:textId="38AE15B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17" w14:textId="45F7255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22" w14:textId="77777777" w:rsidTr="00E955E0">
        <w:tc>
          <w:tcPr>
            <w:tcW w:w="2185" w:type="dxa"/>
          </w:tcPr>
          <w:p w14:paraId="436CB219" w14:textId="406860CC" w:rsidR="00E955E0" w:rsidRPr="00A329F2" w:rsidRDefault="00525DE0" w:rsidP="00E955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Susan</w:t>
            </w:r>
            <w:r w:rsidR="0060549A">
              <w:rPr>
                <w:iCs/>
                <w:sz w:val="20"/>
                <w:szCs w:val="20"/>
              </w:rPr>
              <w:t xml:space="preserve"> Evans</w:t>
            </w:r>
          </w:p>
        </w:tc>
        <w:tc>
          <w:tcPr>
            <w:tcW w:w="1485" w:type="dxa"/>
          </w:tcPr>
          <w:p w14:paraId="436CB21A" w14:textId="1151E85E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</w:t>
            </w:r>
            <w:r w:rsidR="0060549A">
              <w:rPr>
                <w:i/>
                <w:sz w:val="20"/>
                <w:szCs w:val="20"/>
              </w:rPr>
              <w:t>150</w:t>
            </w:r>
          </w:p>
        </w:tc>
        <w:tc>
          <w:tcPr>
            <w:tcW w:w="1583" w:type="dxa"/>
          </w:tcPr>
          <w:p w14:paraId="436CB21B" w14:textId="16FEEAE6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1C" w14:textId="13692D2C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1D" w14:textId="61E92778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1E" w14:textId="682A7E6D" w:rsidR="00E955E0" w:rsidRPr="001943AE" w:rsidRDefault="00E955E0" w:rsidP="00E955E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£0</w:t>
            </w:r>
          </w:p>
        </w:tc>
        <w:tc>
          <w:tcPr>
            <w:tcW w:w="1483" w:type="dxa"/>
          </w:tcPr>
          <w:p w14:paraId="436CB21F" w14:textId="1F9263BD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0" w14:textId="4AE0EE01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1" w14:textId="5B7DB018" w:rsidR="00E955E0" w:rsidRPr="001943AE" w:rsidRDefault="00E955E0" w:rsidP="00E955E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£</w:t>
            </w:r>
            <w:r w:rsidR="0060549A">
              <w:rPr>
                <w:i/>
                <w:sz w:val="20"/>
                <w:szCs w:val="20"/>
              </w:rPr>
              <w:t>150</w:t>
            </w:r>
          </w:p>
        </w:tc>
      </w:tr>
      <w:tr w:rsidR="00E955E0" w14:paraId="436CB22C" w14:textId="77777777" w:rsidTr="00E955E0">
        <w:tc>
          <w:tcPr>
            <w:tcW w:w="2185" w:type="dxa"/>
          </w:tcPr>
          <w:p w14:paraId="436CB223" w14:textId="32BEBCE3" w:rsidR="0060549A" w:rsidRPr="006530A0" w:rsidRDefault="0060549A" w:rsidP="006054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Linda Screen </w:t>
            </w:r>
          </w:p>
        </w:tc>
        <w:tc>
          <w:tcPr>
            <w:tcW w:w="1485" w:type="dxa"/>
          </w:tcPr>
          <w:p w14:paraId="436CB224" w14:textId="4EB13E4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5" w14:textId="35617DA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26" w14:textId="303AC3C3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27" w14:textId="0F11B0F6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28" w14:textId="0E868BEF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29" w14:textId="200E38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2A" w14:textId="33010AC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2B" w14:textId="147889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36" w14:textId="77777777" w:rsidTr="00E955E0">
        <w:tc>
          <w:tcPr>
            <w:tcW w:w="2185" w:type="dxa"/>
          </w:tcPr>
          <w:p w14:paraId="436CB22D" w14:textId="606A9436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Williams</w:t>
            </w:r>
          </w:p>
        </w:tc>
        <w:tc>
          <w:tcPr>
            <w:tcW w:w="1485" w:type="dxa"/>
          </w:tcPr>
          <w:p w14:paraId="436CB22E" w14:textId="2017E78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2F" w14:textId="0C5B4FE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0" w14:textId="4E82C504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1" w14:textId="0163E03A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2" w14:textId="2265523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3" w14:textId="0537385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4" w14:textId="3EF247D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5" w14:textId="5F8A9BB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40" w14:textId="77777777" w:rsidTr="00E955E0">
        <w:tc>
          <w:tcPr>
            <w:tcW w:w="2185" w:type="dxa"/>
          </w:tcPr>
          <w:p w14:paraId="436CB237" w14:textId="14A39A14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Howe</w:t>
            </w:r>
          </w:p>
        </w:tc>
        <w:tc>
          <w:tcPr>
            <w:tcW w:w="1485" w:type="dxa"/>
          </w:tcPr>
          <w:p w14:paraId="436CB238" w14:textId="167B679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39" w14:textId="5413267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3A" w14:textId="3D54DC0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3B" w14:textId="7A905A0C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3C" w14:textId="13CFE071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3D" w14:textId="02C6D85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3E" w14:textId="6B94E07A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3F" w14:textId="4517AB8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4A" w14:textId="77777777" w:rsidTr="00E955E0">
        <w:tc>
          <w:tcPr>
            <w:tcW w:w="2185" w:type="dxa"/>
          </w:tcPr>
          <w:p w14:paraId="436CB241" w14:textId="04138636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Cheryl Ace</w:t>
            </w:r>
          </w:p>
        </w:tc>
        <w:tc>
          <w:tcPr>
            <w:tcW w:w="1485" w:type="dxa"/>
          </w:tcPr>
          <w:p w14:paraId="436CB242" w14:textId="0F6F0A7B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3" w14:textId="2671A2DD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4" w14:textId="11243988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5" w14:textId="6FFF9999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46" w14:textId="07CE93F2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47" w14:textId="0FC9A534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48" w14:textId="5CF9889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49" w14:textId="381CD0B5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54" w14:textId="77777777" w:rsidTr="00E955E0">
        <w:tc>
          <w:tcPr>
            <w:tcW w:w="2185" w:type="dxa"/>
          </w:tcPr>
          <w:p w14:paraId="436CB24B" w14:textId="5906768B" w:rsidR="00E955E0" w:rsidRPr="006530A0" w:rsidRDefault="00525DE0" w:rsidP="00525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60549A">
              <w:rPr>
                <w:sz w:val="20"/>
                <w:szCs w:val="20"/>
              </w:rPr>
              <w:t xml:space="preserve">Sheila Green </w:t>
            </w:r>
          </w:p>
        </w:tc>
        <w:tc>
          <w:tcPr>
            <w:tcW w:w="1485" w:type="dxa"/>
          </w:tcPr>
          <w:p w14:paraId="436CB24C" w14:textId="1697662F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4D" w14:textId="46239CD3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4E" w14:textId="76480126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4F" w14:textId="61B69969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50" w14:textId="63DA36A0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51" w14:textId="0B0EACBA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52" w14:textId="7A723986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53" w14:textId="555FF941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5E" w14:textId="77777777" w:rsidTr="00E955E0">
        <w:tc>
          <w:tcPr>
            <w:tcW w:w="2185" w:type="dxa"/>
          </w:tcPr>
          <w:p w14:paraId="436CB255" w14:textId="505C1F8C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Geraldine Campbell</w:t>
            </w:r>
          </w:p>
        </w:tc>
        <w:tc>
          <w:tcPr>
            <w:tcW w:w="1485" w:type="dxa"/>
          </w:tcPr>
          <w:p w14:paraId="436CB256" w14:textId="7FEAE9A5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83" w:type="dxa"/>
          </w:tcPr>
          <w:p w14:paraId="436CB257" w14:textId="56666E5B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539" w:type="dxa"/>
          </w:tcPr>
          <w:p w14:paraId="436CB258" w14:textId="00AB18D4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83" w:type="dxa"/>
          </w:tcPr>
          <w:p w14:paraId="436CB259" w14:textId="6C802EF3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90" w:type="dxa"/>
          </w:tcPr>
          <w:p w14:paraId="436CB25A" w14:textId="3E5DE59F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83" w:type="dxa"/>
          </w:tcPr>
          <w:p w14:paraId="436CB25B" w14:textId="58EDB0B3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6" w:type="dxa"/>
          </w:tcPr>
          <w:p w14:paraId="436CB25C" w14:textId="5C1D09CC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  <w:tc>
          <w:tcPr>
            <w:tcW w:w="1469" w:type="dxa"/>
          </w:tcPr>
          <w:p w14:paraId="436CB25D" w14:textId="7784E8F5" w:rsidR="00E955E0" w:rsidRPr="006530A0" w:rsidRDefault="0060549A" w:rsidP="00E95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£0</w:t>
            </w:r>
          </w:p>
        </w:tc>
      </w:tr>
      <w:tr w:rsidR="00E955E0" w14:paraId="436CB268" w14:textId="77777777" w:rsidTr="00E955E0">
        <w:tc>
          <w:tcPr>
            <w:tcW w:w="2185" w:type="dxa"/>
          </w:tcPr>
          <w:p w14:paraId="436CB25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6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6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72" w14:textId="77777777" w:rsidTr="00E955E0">
        <w:tc>
          <w:tcPr>
            <w:tcW w:w="2185" w:type="dxa"/>
          </w:tcPr>
          <w:p w14:paraId="436CB26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6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6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6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6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6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7C" w14:textId="77777777" w:rsidTr="00E955E0">
        <w:tc>
          <w:tcPr>
            <w:tcW w:w="2185" w:type="dxa"/>
          </w:tcPr>
          <w:p w14:paraId="436CB27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7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7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7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7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7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86" w14:textId="77777777" w:rsidTr="00E955E0">
        <w:tc>
          <w:tcPr>
            <w:tcW w:w="2185" w:type="dxa"/>
          </w:tcPr>
          <w:p w14:paraId="436CB27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7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7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90" w14:textId="77777777" w:rsidTr="00E955E0">
        <w:tc>
          <w:tcPr>
            <w:tcW w:w="2185" w:type="dxa"/>
          </w:tcPr>
          <w:p w14:paraId="436CB28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8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8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8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8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8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8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8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9A" w14:textId="77777777" w:rsidTr="00E955E0">
        <w:tc>
          <w:tcPr>
            <w:tcW w:w="2185" w:type="dxa"/>
          </w:tcPr>
          <w:p w14:paraId="436CB29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9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9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9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A4" w14:textId="77777777" w:rsidTr="00E955E0">
        <w:tc>
          <w:tcPr>
            <w:tcW w:w="2185" w:type="dxa"/>
          </w:tcPr>
          <w:p w14:paraId="436CB29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9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9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9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9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AE" w14:textId="77777777" w:rsidTr="00E955E0">
        <w:tc>
          <w:tcPr>
            <w:tcW w:w="2185" w:type="dxa"/>
          </w:tcPr>
          <w:p w14:paraId="436CB2A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A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A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A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A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A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A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A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B8" w14:textId="77777777" w:rsidTr="00E955E0">
        <w:tc>
          <w:tcPr>
            <w:tcW w:w="2185" w:type="dxa"/>
          </w:tcPr>
          <w:p w14:paraId="436CB2A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B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B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C2" w14:textId="77777777" w:rsidTr="00E955E0">
        <w:tc>
          <w:tcPr>
            <w:tcW w:w="2185" w:type="dxa"/>
          </w:tcPr>
          <w:p w14:paraId="436CB2B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B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B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B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B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B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CC" w14:textId="77777777" w:rsidTr="00E955E0">
        <w:tc>
          <w:tcPr>
            <w:tcW w:w="2185" w:type="dxa"/>
          </w:tcPr>
          <w:p w14:paraId="436CB2C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C6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C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C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C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C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D6" w14:textId="77777777" w:rsidTr="00E955E0">
        <w:tc>
          <w:tcPr>
            <w:tcW w:w="2185" w:type="dxa"/>
          </w:tcPr>
          <w:p w14:paraId="436CB2C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C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C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0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1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2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3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4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5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E0" w14:textId="77777777" w:rsidTr="00E955E0">
        <w:tc>
          <w:tcPr>
            <w:tcW w:w="2185" w:type="dxa"/>
          </w:tcPr>
          <w:p w14:paraId="436CB2D7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436CB2D8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436CB2D9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436CB2DA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B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436CB2DC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436CB2DD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36CB2DE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436CB2DF" w14:textId="77777777" w:rsidR="00E955E0" w:rsidRPr="006530A0" w:rsidRDefault="00E955E0" w:rsidP="00E955E0">
            <w:pPr>
              <w:jc w:val="center"/>
              <w:rPr>
                <w:sz w:val="20"/>
                <w:szCs w:val="20"/>
              </w:rPr>
            </w:pPr>
          </w:p>
        </w:tc>
      </w:tr>
      <w:tr w:rsidR="00E955E0" w14:paraId="436CB2EA" w14:textId="77777777" w:rsidTr="00E955E0">
        <w:tc>
          <w:tcPr>
            <w:tcW w:w="2185" w:type="dxa"/>
          </w:tcPr>
          <w:p w14:paraId="436CB2E1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2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3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4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5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E6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7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E8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E9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</w:tr>
      <w:tr w:rsidR="00E955E0" w14:paraId="436CB2F4" w14:textId="77777777" w:rsidTr="00E955E0">
        <w:tc>
          <w:tcPr>
            <w:tcW w:w="2185" w:type="dxa"/>
          </w:tcPr>
          <w:p w14:paraId="436CB2EB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436CB2EC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436CB2ED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436CB2EE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EF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436CB2F0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436CB2F1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436CB2F2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436CB2F3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</w:p>
        </w:tc>
      </w:tr>
      <w:tr w:rsidR="00E955E0" w14:paraId="436CB2FE" w14:textId="77777777" w:rsidTr="00E955E0">
        <w:tc>
          <w:tcPr>
            <w:tcW w:w="2185" w:type="dxa"/>
          </w:tcPr>
          <w:p w14:paraId="436CB2F5" w14:textId="77777777" w:rsidR="00E955E0" w:rsidRDefault="00E955E0" w:rsidP="00E955E0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lastRenderedPageBreak/>
              <w:t>Total</w:t>
            </w:r>
          </w:p>
        </w:tc>
        <w:tc>
          <w:tcPr>
            <w:tcW w:w="1485" w:type="dxa"/>
          </w:tcPr>
          <w:p w14:paraId="436CB2F6" w14:textId="5F2022CF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60549A">
              <w:rPr>
                <w:b/>
                <w:u w:val="single"/>
              </w:rPr>
              <w:t>150</w:t>
            </w:r>
          </w:p>
        </w:tc>
        <w:tc>
          <w:tcPr>
            <w:tcW w:w="1583" w:type="dxa"/>
          </w:tcPr>
          <w:p w14:paraId="436CB2F7" w14:textId="580CB1B7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539" w:type="dxa"/>
          </w:tcPr>
          <w:p w14:paraId="436CB2F8" w14:textId="03B9B758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9" w14:textId="5BB31DA3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90" w:type="dxa"/>
          </w:tcPr>
          <w:p w14:paraId="436CB2FA" w14:textId="636D09DF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83" w:type="dxa"/>
          </w:tcPr>
          <w:p w14:paraId="436CB2FB" w14:textId="2288B3FC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6" w:type="dxa"/>
          </w:tcPr>
          <w:p w14:paraId="436CB2FC" w14:textId="14B2EDE0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£0</w:t>
            </w:r>
          </w:p>
        </w:tc>
        <w:tc>
          <w:tcPr>
            <w:tcW w:w="1469" w:type="dxa"/>
          </w:tcPr>
          <w:p w14:paraId="436CB2FD" w14:textId="525D13B6" w:rsidR="00E955E0" w:rsidRDefault="00E955E0" w:rsidP="00E955E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£</w:t>
            </w:r>
            <w:r w:rsidR="0060549A">
              <w:rPr>
                <w:b/>
                <w:u w:val="single"/>
              </w:rPr>
              <w:t>150</w:t>
            </w:r>
          </w:p>
        </w:tc>
      </w:tr>
    </w:tbl>
    <w:p w14:paraId="436CB2FF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default" r:id="rId8"/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E693" w14:textId="77777777" w:rsidR="00CF2343" w:rsidRDefault="00CF2343" w:rsidP="00147558">
      <w:r>
        <w:separator/>
      </w:r>
    </w:p>
  </w:endnote>
  <w:endnote w:type="continuationSeparator" w:id="0">
    <w:p w14:paraId="13238910" w14:textId="77777777" w:rsidR="00CF2343" w:rsidRDefault="00CF2343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7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CE667" w14:textId="77777777" w:rsidR="00CF2343" w:rsidRDefault="00CF2343" w:rsidP="00147558">
      <w:r>
        <w:separator/>
      </w:r>
    </w:p>
  </w:footnote>
  <w:footnote w:type="continuationSeparator" w:id="0">
    <w:p w14:paraId="7829FE5B" w14:textId="77777777" w:rsidR="00CF2343" w:rsidRDefault="00CF2343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B305" w14:textId="10AA9FE8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 </w:t>
    </w:r>
    <w:proofErr w:type="spellStart"/>
    <w:r w:rsidR="0060549A">
      <w:rPr>
        <w:b/>
        <w:u w:val="single"/>
      </w:rPr>
      <w:t>Uzmaston</w:t>
    </w:r>
    <w:proofErr w:type="spellEnd"/>
    <w:r w:rsidR="0060549A">
      <w:rPr>
        <w:b/>
        <w:u w:val="single"/>
      </w:rPr>
      <w:t xml:space="preserve">, </w:t>
    </w:r>
    <w:proofErr w:type="spellStart"/>
    <w:r w:rsidR="0060549A">
      <w:rPr>
        <w:b/>
        <w:u w:val="single"/>
      </w:rPr>
      <w:t>Boulston</w:t>
    </w:r>
    <w:proofErr w:type="spellEnd"/>
    <w:r w:rsidR="0060549A">
      <w:rPr>
        <w:b/>
        <w:u w:val="single"/>
      </w:rPr>
      <w:t xml:space="preserve"> &amp; </w:t>
    </w:r>
    <w:proofErr w:type="spellStart"/>
    <w:r w:rsidR="0060549A">
      <w:rPr>
        <w:b/>
        <w:u w:val="single"/>
      </w:rPr>
      <w:t>Slebech</w:t>
    </w:r>
    <w:proofErr w:type="spellEnd"/>
    <w:r w:rsidR="00866405">
      <w:rPr>
        <w:b/>
        <w:u w:val="single"/>
      </w:rPr>
      <w:t xml:space="preserve"> Community</w:t>
    </w:r>
    <w:r w:rsidR="005F3D09">
      <w:rPr>
        <w:b/>
        <w:u w:val="single"/>
      </w:rPr>
      <w:t xml:space="preserve"> </w:t>
    </w:r>
    <w:r w:rsidR="00866405">
      <w:rPr>
        <w:b/>
        <w:u w:val="single"/>
      </w:rPr>
      <w:t xml:space="preserve">Council for </w:t>
    </w:r>
    <w:r w:rsidR="0060549A">
      <w:rPr>
        <w:b/>
        <w:u w:val="single"/>
      </w:rPr>
      <w:t xml:space="preserve">2022/2023 financial </w:t>
    </w:r>
    <w:proofErr w:type="gramStart"/>
    <w:r w:rsidR="0060549A">
      <w:rPr>
        <w:b/>
        <w:u w:val="single"/>
      </w:rPr>
      <w:t>year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58"/>
    <w:rsid w:val="00001D6C"/>
    <w:rsid w:val="00056D9E"/>
    <w:rsid w:val="000713CF"/>
    <w:rsid w:val="000769DF"/>
    <w:rsid w:val="000A79B8"/>
    <w:rsid w:val="000B3BD4"/>
    <w:rsid w:val="000D5416"/>
    <w:rsid w:val="00147558"/>
    <w:rsid w:val="00150D95"/>
    <w:rsid w:val="001943AE"/>
    <w:rsid w:val="001E034E"/>
    <w:rsid w:val="0022090A"/>
    <w:rsid w:val="00281CAB"/>
    <w:rsid w:val="00322516"/>
    <w:rsid w:val="00327D04"/>
    <w:rsid w:val="003857A3"/>
    <w:rsid w:val="003D2C59"/>
    <w:rsid w:val="004020F2"/>
    <w:rsid w:val="004766E9"/>
    <w:rsid w:val="00491388"/>
    <w:rsid w:val="0051049D"/>
    <w:rsid w:val="00525DE0"/>
    <w:rsid w:val="005A50A9"/>
    <w:rsid w:val="005C06BA"/>
    <w:rsid w:val="005F3D09"/>
    <w:rsid w:val="0060549A"/>
    <w:rsid w:val="00614F1C"/>
    <w:rsid w:val="006530A0"/>
    <w:rsid w:val="006F6070"/>
    <w:rsid w:val="007509FB"/>
    <w:rsid w:val="00776B10"/>
    <w:rsid w:val="007F4C49"/>
    <w:rsid w:val="007F63A1"/>
    <w:rsid w:val="00866405"/>
    <w:rsid w:val="008B5AF8"/>
    <w:rsid w:val="008B7A24"/>
    <w:rsid w:val="008C28FD"/>
    <w:rsid w:val="0091329A"/>
    <w:rsid w:val="009460D2"/>
    <w:rsid w:val="009F30B2"/>
    <w:rsid w:val="00A010DE"/>
    <w:rsid w:val="00A10D6A"/>
    <w:rsid w:val="00A12E69"/>
    <w:rsid w:val="00A329F2"/>
    <w:rsid w:val="00A360BA"/>
    <w:rsid w:val="00A60177"/>
    <w:rsid w:val="00A67FEE"/>
    <w:rsid w:val="00AF5530"/>
    <w:rsid w:val="00B725E4"/>
    <w:rsid w:val="00B96959"/>
    <w:rsid w:val="00B97AEC"/>
    <w:rsid w:val="00BB4F71"/>
    <w:rsid w:val="00BD46AF"/>
    <w:rsid w:val="00C046A8"/>
    <w:rsid w:val="00C072CA"/>
    <w:rsid w:val="00C10E04"/>
    <w:rsid w:val="00CA4B60"/>
    <w:rsid w:val="00CF2343"/>
    <w:rsid w:val="00D34B1E"/>
    <w:rsid w:val="00D5770E"/>
    <w:rsid w:val="00D57B6F"/>
    <w:rsid w:val="00DD585D"/>
    <w:rsid w:val="00DF5B4D"/>
    <w:rsid w:val="00E4461D"/>
    <w:rsid w:val="00E955E0"/>
    <w:rsid w:val="00F266CB"/>
    <w:rsid w:val="00F63D43"/>
    <w:rsid w:val="00FB5D7D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6CB1FB"/>
  <w15:docId w15:val="{C308F5E0-A48C-4409-B4B1-33BE5279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541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Community and Town Councils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2020-02-04T08:01:02Z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- 2016-2021:Pro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138A1B27-D563-45EB-A0E5-04E761FE2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Rachel Williams</cp:lastModifiedBy>
  <cp:revision>4</cp:revision>
  <dcterms:created xsi:type="dcterms:W3CDTF">2023-07-03T16:06:00Z</dcterms:created>
  <dcterms:modified xsi:type="dcterms:W3CDTF">2023-07-03T16:16:00Z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Community and Town Councils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2020-02-04T08:01:02Z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