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49A83A44" w14:textId="77777777" w:rsidTr="005F07C1">
        <w:tc>
          <w:tcPr>
            <w:tcW w:w="2003" w:type="dxa"/>
          </w:tcPr>
          <w:p w14:paraId="2587F6C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6C129637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2019B418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51EB6CB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6573474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6A843482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6CDF4E6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DD04DFD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B4CCB23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5C19CA97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647DEAA1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D9F1248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6A8D2E4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535E0C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EFD94A7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213C9A65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2CFBD25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53C1D9B4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4EC9B6C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2B755805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FBE70FC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58016417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48699973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1630BB7A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9503F8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7DC63A53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38B87E4F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18D275CB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5CFD9F19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8CD5E53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CF6B5B" w14:paraId="182EFC95" w14:textId="77777777" w:rsidTr="005F07C1">
        <w:tc>
          <w:tcPr>
            <w:tcW w:w="2003" w:type="dxa"/>
          </w:tcPr>
          <w:p w14:paraId="55D031AC" w14:textId="0877583F" w:rsidR="00CF6B5B" w:rsidRPr="005F5178" w:rsidRDefault="00CF6B5B" w:rsidP="00CF6B5B">
            <w:pPr>
              <w:rPr>
                <w:sz w:val="20"/>
                <w:szCs w:val="20"/>
              </w:rPr>
            </w:pPr>
            <w:r w:rsidRPr="005F5178">
              <w:rPr>
                <w:sz w:val="20"/>
                <w:szCs w:val="20"/>
              </w:rPr>
              <w:t>Cllr B Harries</w:t>
            </w:r>
          </w:p>
        </w:tc>
        <w:tc>
          <w:tcPr>
            <w:tcW w:w="1441" w:type="dxa"/>
          </w:tcPr>
          <w:p w14:paraId="2F0E6DB3" w14:textId="0F44A3F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57933A2D" w14:textId="5753426D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462BBB7F" w14:textId="16D5144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16C4C73D" w14:textId="748410D2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161C294F" w14:textId="66905B52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51696D60" w14:textId="232EC966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495E61F" w14:textId="461FFC06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15AA22D5" w14:textId="155ACD62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3B070A9D" w14:textId="013F5890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5260EED1" w14:textId="77777777" w:rsidTr="005F07C1">
        <w:tc>
          <w:tcPr>
            <w:tcW w:w="2003" w:type="dxa"/>
          </w:tcPr>
          <w:p w14:paraId="5D9CA7E9" w14:textId="65812AF9" w:rsidR="00CF6B5B" w:rsidRPr="00CF6B5B" w:rsidRDefault="00CF6B5B" w:rsidP="00CF6B5B">
            <w:pPr>
              <w:rPr>
                <w:sz w:val="20"/>
                <w:szCs w:val="20"/>
              </w:rPr>
            </w:pPr>
            <w:r w:rsidRPr="00CF6B5B">
              <w:rPr>
                <w:sz w:val="20"/>
                <w:szCs w:val="20"/>
              </w:rPr>
              <w:t>Cllr G Miles</w:t>
            </w:r>
          </w:p>
        </w:tc>
        <w:tc>
          <w:tcPr>
            <w:tcW w:w="1441" w:type="dxa"/>
          </w:tcPr>
          <w:p w14:paraId="5DE26FEE" w14:textId="60FD5CA7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52ECF8F1" w14:textId="72D85486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68171C93" w14:textId="55FDCBC3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132765"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59B02A3D" w14:textId="09864739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56514325" w14:textId="4B0C4476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0689CC3E" w14:textId="680FA554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6D2C47" w14:textId="54143D08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4A48A41E" w14:textId="5785F600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5FCCE458" w14:textId="68495617" w:rsidR="00CF6B5B" w:rsidRPr="001943AE" w:rsidRDefault="00CF6B5B" w:rsidP="00CF6B5B">
            <w:pPr>
              <w:jc w:val="center"/>
              <w:rPr>
                <w:i/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167A2A4B" w14:textId="77777777" w:rsidTr="005F07C1">
        <w:tc>
          <w:tcPr>
            <w:tcW w:w="2003" w:type="dxa"/>
          </w:tcPr>
          <w:p w14:paraId="6BB6A283" w14:textId="275A743E" w:rsidR="00CF6B5B" w:rsidRPr="005F5178" w:rsidRDefault="00CF6B5B" w:rsidP="00CF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P James</w:t>
            </w:r>
          </w:p>
        </w:tc>
        <w:tc>
          <w:tcPr>
            <w:tcW w:w="1441" w:type="dxa"/>
          </w:tcPr>
          <w:p w14:paraId="58856C95" w14:textId="722C6132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11A366AD" w14:textId="2B99BE37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44A6A675" w14:textId="047EECCF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32765"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84CA567" w14:textId="7F66FDCA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3F724486" w14:textId="30AB3D62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1DBB95EF" w14:textId="5ADE31E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073AFB7" w14:textId="2776475B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3128DAAB" w14:textId="493B5031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0759AE23" w14:textId="48272EF0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75B540CB" w14:textId="77777777" w:rsidTr="005F07C1">
        <w:tc>
          <w:tcPr>
            <w:tcW w:w="2003" w:type="dxa"/>
          </w:tcPr>
          <w:p w14:paraId="67B52DD9" w14:textId="542A2392" w:rsidR="00CF6B5B" w:rsidRPr="005F5178" w:rsidRDefault="00CF6B5B" w:rsidP="00CF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G Williams</w:t>
            </w:r>
          </w:p>
        </w:tc>
        <w:tc>
          <w:tcPr>
            <w:tcW w:w="1441" w:type="dxa"/>
          </w:tcPr>
          <w:p w14:paraId="2CACDD49" w14:textId="442311FB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7EB2123B" w14:textId="1075A766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10726409" w14:textId="144F6312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32765"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0F7477D4" w14:textId="2D233568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0225A93B" w14:textId="345E9C43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79D9EC29" w14:textId="192DAD6F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845D5C9" w14:textId="7F9C33AA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6A27585C" w14:textId="03803AC0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0275A12F" w14:textId="2240847B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249E7FAB" w14:textId="77777777" w:rsidTr="005F07C1">
        <w:tc>
          <w:tcPr>
            <w:tcW w:w="2003" w:type="dxa"/>
          </w:tcPr>
          <w:p w14:paraId="458398D8" w14:textId="6FA388F4" w:rsidR="00CF6B5B" w:rsidRPr="005F5178" w:rsidRDefault="00CF6B5B" w:rsidP="00CF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 Griffiths</w:t>
            </w:r>
          </w:p>
        </w:tc>
        <w:tc>
          <w:tcPr>
            <w:tcW w:w="1441" w:type="dxa"/>
          </w:tcPr>
          <w:p w14:paraId="648B7301" w14:textId="0CA3A60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54C7D3B7" w14:textId="7D2560A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1111F1F8" w14:textId="449860E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32765"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787C6C71" w14:textId="3AC4968C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5859117A" w14:textId="2C9D9101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6C005AD9" w14:textId="0863437C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4AA1564" w14:textId="2676F725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6C038028" w14:textId="695A8E25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5D586EC6" w14:textId="20272D9D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53C25E2D" w14:textId="77777777" w:rsidTr="005F07C1">
        <w:tc>
          <w:tcPr>
            <w:tcW w:w="2003" w:type="dxa"/>
          </w:tcPr>
          <w:p w14:paraId="6F947F83" w14:textId="6FC9EE93" w:rsidR="00CF6B5B" w:rsidRPr="005F5178" w:rsidRDefault="00CF6B5B" w:rsidP="00CF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T Griffiths</w:t>
            </w:r>
          </w:p>
        </w:tc>
        <w:tc>
          <w:tcPr>
            <w:tcW w:w="1441" w:type="dxa"/>
          </w:tcPr>
          <w:p w14:paraId="2EECADDE" w14:textId="1DFA38D8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8D6D911" w14:textId="23637D47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75523C96" w14:textId="24CAAD67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32765"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6EEB3768" w14:textId="22D04271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50B986CB" w14:textId="33D0A4F6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7874F6E1" w14:textId="63209C73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A300D79" w14:textId="3CF41FFB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6081BEFC" w14:textId="520C1CB3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6C88B631" w14:textId="1A0DAC17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20A2BA9D" w14:textId="77777777" w:rsidTr="005F07C1">
        <w:tc>
          <w:tcPr>
            <w:tcW w:w="2003" w:type="dxa"/>
          </w:tcPr>
          <w:p w14:paraId="62A3BF3C" w14:textId="30D27A02" w:rsidR="00CF6B5B" w:rsidRPr="005F5178" w:rsidRDefault="00CF6B5B" w:rsidP="00CF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 Bateman</w:t>
            </w:r>
          </w:p>
        </w:tc>
        <w:tc>
          <w:tcPr>
            <w:tcW w:w="1441" w:type="dxa"/>
          </w:tcPr>
          <w:p w14:paraId="3EEC474D" w14:textId="3AC9D938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09781B09" w14:textId="6C9F1DAC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766" w:type="dxa"/>
          </w:tcPr>
          <w:p w14:paraId="5FB1D560" w14:textId="0E6B0B55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32765"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453AB0D" w14:textId="2A91AAC4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58D5F022" w14:textId="665543C9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921497"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226A1D19" w14:textId="751ECEA7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1C10FC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BEB0C44" w14:textId="7C7BBC58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522F98"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991" w:type="dxa"/>
          </w:tcPr>
          <w:p w14:paraId="634271C8" w14:textId="35B5D126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874269">
              <w:rPr>
                <w:sz w:val="20"/>
                <w:szCs w:val="20"/>
              </w:rPr>
              <w:t>N/A</w:t>
            </w:r>
          </w:p>
        </w:tc>
        <w:tc>
          <w:tcPr>
            <w:tcW w:w="1349" w:type="dxa"/>
          </w:tcPr>
          <w:p w14:paraId="0713E0C6" w14:textId="198FAFD8" w:rsidR="00CF6B5B" w:rsidRPr="006530A0" w:rsidRDefault="00CF6B5B" w:rsidP="00CF6B5B">
            <w:pPr>
              <w:jc w:val="center"/>
              <w:rPr>
                <w:sz w:val="20"/>
                <w:szCs w:val="20"/>
              </w:rPr>
            </w:pPr>
            <w:r w:rsidRPr="00DC25C1">
              <w:rPr>
                <w:i/>
                <w:sz w:val="20"/>
                <w:szCs w:val="20"/>
              </w:rPr>
              <w:t>£0</w:t>
            </w:r>
          </w:p>
        </w:tc>
      </w:tr>
      <w:tr w:rsidR="00CF6B5B" w14:paraId="768369F7" w14:textId="77777777" w:rsidTr="005F07C1">
        <w:tc>
          <w:tcPr>
            <w:tcW w:w="2003" w:type="dxa"/>
          </w:tcPr>
          <w:p w14:paraId="510253A2" w14:textId="77777777" w:rsidR="00CF6B5B" w:rsidRPr="00DD44DC" w:rsidRDefault="00CF6B5B" w:rsidP="00CF6B5B">
            <w:pPr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614F5C85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C9D3F05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7878173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47E026E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12FEDF0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76C7B799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6DB5740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07AF1708" w14:textId="77777777" w:rsidR="00CF6B5B" w:rsidRDefault="00CF6B5B" w:rsidP="00CF6B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63134D25" w14:textId="533311C5" w:rsidR="00CF6B5B" w:rsidRDefault="00CF6B5B" w:rsidP="00CF6B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</w:tr>
    </w:tbl>
    <w:p w14:paraId="2A852DA8" w14:textId="77777777" w:rsidR="001D754E" w:rsidRDefault="00EB6EE9"/>
    <w:sectPr w:rsidR="001D754E" w:rsidSect="005F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56F5" w14:textId="77777777" w:rsidR="00EB6EE9" w:rsidRDefault="00EB6EE9" w:rsidP="007E64DC">
      <w:r>
        <w:separator/>
      </w:r>
    </w:p>
  </w:endnote>
  <w:endnote w:type="continuationSeparator" w:id="0">
    <w:p w14:paraId="01EF86A9" w14:textId="77777777" w:rsidR="00EB6EE9" w:rsidRDefault="00EB6EE9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B88" w14:textId="77777777" w:rsidR="00CF6B5B" w:rsidRDefault="00CF6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C736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</w:t>
    </w:r>
    <w:bookmarkStart w:id="0" w:name="_Hlk106955008"/>
    <w:r>
      <w:t xml:space="preserve">Remuneration Panel for Wales </w:t>
    </w:r>
    <w:bookmarkEnd w:id="0"/>
    <w:r>
      <w:t xml:space="preserve">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AE9B" w14:textId="77777777" w:rsidR="00CF6B5B" w:rsidRDefault="00CF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22D6" w14:textId="77777777" w:rsidR="00EB6EE9" w:rsidRDefault="00EB6EE9" w:rsidP="007E64DC">
      <w:r>
        <w:separator/>
      </w:r>
    </w:p>
  </w:footnote>
  <w:footnote w:type="continuationSeparator" w:id="0">
    <w:p w14:paraId="049350AB" w14:textId="77777777" w:rsidR="00EB6EE9" w:rsidRDefault="00EB6EE9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B17E" w14:textId="77777777" w:rsidR="00CF6B5B" w:rsidRDefault="00CF6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7234" w14:textId="7E7E0CA4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5F5178">
      <w:rPr>
        <w:b/>
        <w:u w:val="single"/>
      </w:rPr>
      <w:t xml:space="preserve">Wolfscastle Community </w:t>
    </w:r>
    <w:proofErr w:type="gramStart"/>
    <w:r w:rsidR="005F5178">
      <w:rPr>
        <w:b/>
        <w:u w:val="single"/>
      </w:rPr>
      <w:t xml:space="preserve">Council </w:t>
    </w:r>
    <w:r>
      <w:rPr>
        <w:b/>
        <w:u w:val="single"/>
      </w:rPr>
      <w:t xml:space="preserve"> for</w:t>
    </w:r>
    <w:proofErr w:type="gramEnd"/>
    <w:r>
      <w:rPr>
        <w:b/>
        <w:u w:val="single"/>
      </w:rPr>
      <w:t xml:space="preserve">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96C7" w14:textId="77777777" w:rsidR="00CF6B5B" w:rsidRDefault="00CF6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4761EC"/>
    <w:rsid w:val="004B09DD"/>
    <w:rsid w:val="005F07C1"/>
    <w:rsid w:val="005F5178"/>
    <w:rsid w:val="00770324"/>
    <w:rsid w:val="007C698C"/>
    <w:rsid w:val="007E64DC"/>
    <w:rsid w:val="00956AE6"/>
    <w:rsid w:val="00A55188"/>
    <w:rsid w:val="00CF6B5B"/>
    <w:rsid w:val="00D206D7"/>
    <w:rsid w:val="00DD2D22"/>
    <w:rsid w:val="00DD44DC"/>
    <w:rsid w:val="00E04FFF"/>
    <w:rsid w:val="00EB6EE9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D2CB9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5F51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Carol Williams</cp:lastModifiedBy>
  <cp:revision>2</cp:revision>
  <dcterms:created xsi:type="dcterms:W3CDTF">2022-06-24T08:25:00Z</dcterms:created>
  <dcterms:modified xsi:type="dcterms:W3CDTF">2022-06-24T08:25:00Z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